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A6A84" w14:textId="49896428" w:rsidR="006523FF" w:rsidRDefault="00000000">
      <w:pPr>
        <w:pStyle w:val="Title"/>
      </w:pPr>
      <w:r>
        <w:t>Black Mashua (Tropaeolum tuberosum) — Medicinal Studies</w:t>
      </w:r>
    </w:p>
    <w:p w14:paraId="32E50812" w14:textId="77777777" w:rsidR="006523FF" w:rsidRDefault="00000000">
      <w:r>
        <w:rPr>
          <w:sz w:val="20"/>
        </w:rPr>
        <w:t>Below are peer‑reviewed studies and reviews on Black Mashua. Each item includes a plain‑English takeaway and a direct link.</w:t>
      </w:r>
    </w:p>
    <w:p w14:paraId="17736445" w14:textId="77777777" w:rsidR="006523FF" w:rsidRDefault="00000000">
      <w:pPr>
        <w:pStyle w:val="Heading1"/>
      </w:pPr>
      <w:r>
        <w:t>Anti‑inflammatory / NF‑κB Modulation</w:t>
      </w:r>
    </w:p>
    <w:p w14:paraId="40DA7AB7" w14:textId="77777777" w:rsidR="006523FF" w:rsidRDefault="00000000">
      <w:r>
        <w:rPr>
          <w:b/>
        </w:rPr>
        <w:t>Alkamides from Tropaeolum tuberosum inhibit inflammatory mediators (NF‑κB/TNF‑α) (2019) — In vitro (human cell lines); Purple &amp; Black mashua</w:t>
      </w:r>
    </w:p>
    <w:p w14:paraId="18A29B8B" w14:textId="77777777" w:rsidR="006523FF" w:rsidRDefault="00000000">
      <w:r>
        <w:t>Researchers isolated N‑oleoyldopamine and a long‑chain ethanolamide from purple/black mashua and showed they down‑regulated NF‑κB/TNF‑α pathways — mechanistic support for anti‑inflammatory claims.</w:t>
      </w:r>
    </w:p>
    <w:p w14:paraId="3135EDE7" w14:textId="77777777" w:rsidR="006523FF" w:rsidRDefault="00000000">
      <w:r>
        <w:t>https://pubmed.ncbi.nlm.nih.gov/30753883/</w:t>
      </w:r>
    </w:p>
    <w:p w14:paraId="7CF4788D" w14:textId="77777777" w:rsidR="006523FF" w:rsidRDefault="00000000">
      <w:r>
        <w:rPr>
          <w:b/>
        </w:rPr>
        <w:t>Anti‑inflammatory potential of macamides isolated from Yellow T. tuberosum (2020) — In vitro (skin fibroblasts; lung fibroblasts; prostate epithelial cell line)</w:t>
      </w:r>
    </w:p>
    <w:p w14:paraId="49C1BDEC" w14:textId="77777777" w:rsidR="006523FF" w:rsidRDefault="00000000">
      <w:r>
        <w:t>Macamide‑type lipids from mashua reduced inflammatory readouts in multiple human cell lines, indicating a family of lipophilic actives beyond polyphenols.</w:t>
      </w:r>
    </w:p>
    <w:p w14:paraId="289FD496" w14:textId="77777777" w:rsidR="006523FF" w:rsidRDefault="00000000">
      <w:r>
        <w:t>https://www.thieme-connect.com/products/ejournals/abstract/10.1055/a-1159-4242</w:t>
      </w:r>
    </w:p>
    <w:p w14:paraId="16AB4DC5" w14:textId="77777777" w:rsidR="006523FF" w:rsidRDefault="00000000">
      <w:r>
        <w:rPr>
          <w:b/>
        </w:rPr>
        <w:t>Anti‑glycative and anti‑inflammatory effects of T. tuberosum compounds (2022) — In vitro (guided isolation)</w:t>
      </w:r>
    </w:p>
    <w:p w14:paraId="44D338C9" w14:textId="77777777" w:rsidR="006523FF" w:rsidRDefault="00000000">
      <w:r>
        <w:t>Guided fractionation identified two N‑acyl amides with both anti‑glycative and anti‑inflammatory activity, relevant to healthy aging and metabolic inflammation.</w:t>
      </w:r>
    </w:p>
    <w:p w14:paraId="76365607" w14:textId="77777777" w:rsidR="006523FF" w:rsidRDefault="00000000">
      <w:r>
        <w:t>https://pubmed.ncbi.nlm.nih.gov/34935571/</w:t>
      </w:r>
    </w:p>
    <w:p w14:paraId="1D8F30AC" w14:textId="77777777" w:rsidR="006523FF" w:rsidRDefault="00000000">
      <w:pPr>
        <w:pStyle w:val="Heading1"/>
      </w:pPr>
      <w:r>
        <w:t>Skin / Wound Healing</w:t>
      </w:r>
    </w:p>
    <w:p w14:paraId="194B0024" w14:textId="77777777" w:rsidR="006523FF" w:rsidRDefault="00000000">
      <w:r>
        <w:rPr>
          <w:b/>
        </w:rPr>
        <w:t>Wound‑healing activity of T. tuberosum‑based topical formulations in mice (2022) — In vivo (Balb/c mice; cream/gel, 1% black mashua extract)</w:t>
      </w:r>
    </w:p>
    <w:p w14:paraId="6D512DC2" w14:textId="77777777" w:rsidR="006523FF" w:rsidRDefault="00000000">
      <w:r>
        <w:t>Topical 1% mashua gel accelerated wound closure vs. control, consistent with antioxidant and anti‑inflammatory actions.</w:t>
      </w:r>
    </w:p>
    <w:p w14:paraId="5E554CA8" w14:textId="77777777" w:rsidR="006523FF" w:rsidRDefault="00000000">
      <w:r>
        <w:t>https://pmc.ncbi.nlm.nih.gov/articles/PMC8980398/</w:t>
      </w:r>
    </w:p>
    <w:p w14:paraId="096AB981" w14:textId="77777777" w:rsidR="006523FF" w:rsidRDefault="00000000">
      <w:pPr>
        <w:pStyle w:val="Heading1"/>
      </w:pPr>
      <w:r>
        <w:lastRenderedPageBreak/>
        <w:t>Prostate Health / BPH (Preclinical)</w:t>
      </w:r>
    </w:p>
    <w:p w14:paraId="5E5B2FA0" w14:textId="77777777" w:rsidR="006523FF" w:rsidRDefault="00000000">
      <w:r>
        <w:rPr>
          <w:b/>
        </w:rPr>
        <w:t>Efecto de Tropaeolum tuberosum frente a la hiperplasia prostática benigna (BPH) en ratas Holtzman (2013) — In vivo (rat BPH model; Peru)</w:t>
      </w:r>
    </w:p>
    <w:p w14:paraId="6B3EFBF1" w14:textId="77777777" w:rsidR="006523FF" w:rsidRDefault="00000000">
      <w:r>
        <w:t>Peruvian study reported reduced prostate weight/indices versus controls (and compared with finasteride). Early preclinical signal; not a human trial.</w:t>
      </w:r>
    </w:p>
    <w:p w14:paraId="6A543F30" w14:textId="77777777" w:rsidR="006523FF" w:rsidRDefault="00000000">
      <w:r>
        <w:t>http://www.redalyc.org/articulo.oa?id=71729338001</w:t>
      </w:r>
    </w:p>
    <w:p w14:paraId="3D091158" w14:textId="77777777" w:rsidR="006523FF" w:rsidRDefault="00000000">
      <w:pPr>
        <w:pStyle w:val="Heading1"/>
      </w:pPr>
      <w:r>
        <w:t>Antioxidant Capacity / Phenolics</w:t>
      </w:r>
    </w:p>
    <w:p w14:paraId="1FEB2EF1" w14:textId="77777777" w:rsidR="006523FF" w:rsidRDefault="00000000">
      <w:r>
        <w:rPr>
          <w:b/>
        </w:rPr>
        <w:t>Antioxidant properties of mashua phenolic extracts against oxidative damage (2008) — In vitro (multiple oxidative assays)</w:t>
      </w:r>
    </w:p>
    <w:p w14:paraId="1C74A274" w14:textId="77777777" w:rsidR="006523FF" w:rsidRDefault="00000000">
      <w:r>
        <w:t>Phenolic‑rich extracts from mashua showed strong antioxidant capacity across several biological assays, supporting its use as an antioxidant food.</w:t>
      </w:r>
    </w:p>
    <w:p w14:paraId="4188F9E2" w14:textId="77777777" w:rsidR="006523FF" w:rsidRDefault="00000000">
      <w:r>
        <w:t>https://www.sciencedirect.com/science/article/abs/pii/S0308814608003361</w:t>
      </w:r>
    </w:p>
    <w:p w14:paraId="3EE7205A" w14:textId="77777777" w:rsidR="006523FF" w:rsidRDefault="00000000">
      <w:r>
        <w:rPr>
          <w:b/>
        </w:rPr>
        <w:t>Chemical study and antioxidant capacity of pink, yellow, and purple mashua (2019) — In vitro (comparative, color morphotypes)</w:t>
      </w:r>
    </w:p>
    <w:p w14:paraId="43D100F3" w14:textId="77777777" w:rsidR="006523FF" w:rsidRDefault="00000000">
      <w:r>
        <w:t>Compared tuber colors; darker morphotypes generally showed higher antioxidant metrics — useful for positioning 'black mashua'.</w:t>
      </w:r>
    </w:p>
    <w:p w14:paraId="441E4577" w14:textId="77777777" w:rsidR="006523FF" w:rsidRDefault="00000000">
      <w:r>
        <w:t>https://www.scirp.org/journal/paperinformation?paperid=97450</w:t>
      </w:r>
    </w:p>
    <w:p w14:paraId="585BC23E" w14:textId="77777777" w:rsidR="006523FF" w:rsidRDefault="00000000">
      <w:pPr>
        <w:pStyle w:val="Heading1"/>
      </w:pPr>
      <w:r>
        <w:t>Glucosinolates → Isothiocyanates (Mechanistic)</w:t>
      </w:r>
    </w:p>
    <w:p w14:paraId="5337A076" w14:textId="77777777" w:rsidR="006523FF" w:rsidRDefault="00000000">
      <w:r>
        <w:rPr>
          <w:b/>
        </w:rPr>
        <w:t>Impact of cold storage followed by drying of mashua tuber on benzyl glucosinolate derivatives (2022) — Food processing / chemistry</w:t>
      </w:r>
    </w:p>
    <w:p w14:paraId="1813A3D7" w14:textId="77777777" w:rsidR="006523FF" w:rsidRDefault="00000000">
      <w:r>
        <w:t>Characterized how processing changes mashua’s benzyl‑glucosinolate into isothiocyanates/nitriles — key for standardizing actives in powders.</w:t>
      </w:r>
    </w:p>
    <w:p w14:paraId="448121D5" w14:textId="77777777" w:rsidR="006523FF" w:rsidRDefault="00000000">
      <w:r>
        <w:t>https://academic.oup.com/ijfst/article/57/12/7797/7806645</w:t>
      </w:r>
    </w:p>
    <w:p w14:paraId="28FBC119" w14:textId="77777777" w:rsidR="006523FF" w:rsidRDefault="00000000">
      <w:r>
        <w:rPr>
          <w:b/>
        </w:rPr>
        <w:t>In vitro and in vivo biotransformation of glucosinolates from mashua (2023) — Food Chemistry (in vitro / in vivo biotransformation)</w:t>
      </w:r>
    </w:p>
    <w:p w14:paraId="5D2B91F4" w14:textId="77777777" w:rsidR="006523FF" w:rsidRDefault="00000000">
      <w:r>
        <w:t>Mapped biotransformation products of mashua glucosinolates in plant, microbial, and model systems, linking the tuber to known bioactive isothiocyanates.</w:t>
      </w:r>
    </w:p>
    <w:p w14:paraId="6B8B2E7B" w14:textId="77777777" w:rsidR="006523FF" w:rsidRDefault="00000000">
      <w:r>
        <w:t>https://www.sciencedirect.com/science/article/abs/pii/S0308814622025936</w:t>
      </w:r>
    </w:p>
    <w:p w14:paraId="558313A7" w14:textId="77777777" w:rsidR="006523FF" w:rsidRDefault="00000000">
      <w:r>
        <w:rPr>
          <w:b/>
        </w:rPr>
        <w:t>Isothiocyanates and thioureas in enzyme hydrolysates of Tropaeolum tuberosum (1981) — Phytochemistry (analytical)</w:t>
      </w:r>
    </w:p>
    <w:p w14:paraId="2095C7F5" w14:textId="77777777" w:rsidR="006523FF" w:rsidRDefault="00000000">
      <w:r>
        <w:lastRenderedPageBreak/>
        <w:t>Classic analysis confirming isothiocyanate formation from mashua glucosinolates — foundational chemistry for its antimicrobial/anti‑inflammatory rationale.</w:t>
      </w:r>
    </w:p>
    <w:p w14:paraId="2D24D720" w14:textId="77777777" w:rsidR="006523FF" w:rsidRDefault="00000000">
      <w:r>
        <w:t>https://www.sciencedirect.com/science/article/abs/pii/0031942281852685</w:t>
      </w:r>
    </w:p>
    <w:p w14:paraId="795DA749" w14:textId="77777777" w:rsidR="006523FF" w:rsidRDefault="00000000">
      <w:pPr>
        <w:pStyle w:val="Heading1"/>
      </w:pPr>
      <w:r>
        <w:t>Peruvian Morphotypes / Bioactive Diversity</w:t>
      </w:r>
    </w:p>
    <w:p w14:paraId="18E7925C" w14:textId="77777777" w:rsidR="006523FF" w:rsidRDefault="00000000">
      <w:r>
        <w:rPr>
          <w:b/>
        </w:rPr>
        <w:t>Phytochemical characterization of 27 Peruvian mashua morphotypes (2022) — Horticulturae (open‑access)</w:t>
      </w:r>
    </w:p>
    <w:p w14:paraId="06E68A33" w14:textId="77777777" w:rsidR="006523FF" w:rsidRDefault="00000000">
      <w:r>
        <w:t>Surveyed Peruvian germplasm for phenolics, glucosinolates, carotenoids, and vitamin C; shows large natural variation — useful for selecting high‑active 'black' lines.</w:t>
      </w:r>
    </w:p>
    <w:p w14:paraId="55507189" w14:textId="77777777" w:rsidR="006523FF" w:rsidRDefault="00000000">
      <w:r>
        <w:t>https://www.mdpi.com/2311-7524/8/6/471</w:t>
      </w:r>
    </w:p>
    <w:p w14:paraId="7AD1EE91" w14:textId="77777777" w:rsidR="00E95E96" w:rsidRDefault="00E95E96"/>
    <w:p w14:paraId="36C52A2E" w14:textId="36D424BA" w:rsidR="006523FF" w:rsidRDefault="006523FF"/>
    <w:sectPr w:rsidR="006523F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367943">
    <w:abstractNumId w:val="8"/>
  </w:num>
  <w:num w:numId="2" w16cid:durableId="1076517522">
    <w:abstractNumId w:val="6"/>
  </w:num>
  <w:num w:numId="3" w16cid:durableId="1661957102">
    <w:abstractNumId w:val="5"/>
  </w:num>
  <w:num w:numId="4" w16cid:durableId="957371016">
    <w:abstractNumId w:val="4"/>
  </w:num>
  <w:num w:numId="5" w16cid:durableId="1201549147">
    <w:abstractNumId w:val="7"/>
  </w:num>
  <w:num w:numId="6" w16cid:durableId="1346328223">
    <w:abstractNumId w:val="3"/>
  </w:num>
  <w:num w:numId="7" w16cid:durableId="1909995572">
    <w:abstractNumId w:val="2"/>
  </w:num>
  <w:num w:numId="8" w16cid:durableId="1870797924">
    <w:abstractNumId w:val="1"/>
  </w:num>
  <w:num w:numId="9" w16cid:durableId="1310552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523FF"/>
    <w:rsid w:val="00AA1D8D"/>
    <w:rsid w:val="00B47730"/>
    <w:rsid w:val="00C70149"/>
    <w:rsid w:val="00CB0664"/>
    <w:rsid w:val="00E95E9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6F53A6"/>
  <w14:defaultImageDpi w14:val="300"/>
  <w15:docId w15:val="{44DE605E-C630-46CB-BC57-E424E1EB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95E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Asif Chaudhry</cp:lastModifiedBy>
  <cp:revision>3</cp:revision>
  <dcterms:created xsi:type="dcterms:W3CDTF">2013-12-23T23:15:00Z</dcterms:created>
  <dcterms:modified xsi:type="dcterms:W3CDTF">2025-09-27T07:42:00Z</dcterms:modified>
  <cp:category/>
</cp:coreProperties>
</file>